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948054" w14:textId="6659AA1B" w:rsidR="006B02F1" w:rsidRDefault="006B02F1" w:rsidP="006B02F1">
      <w:pPr>
        <w:jc w:val="right"/>
        <w:rPr>
          <w:b/>
          <w:bCs/>
          <w:sz w:val="28"/>
          <w:szCs w:val="28"/>
        </w:rPr>
      </w:pP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Zał. </w:t>
      </w:r>
      <w:r w:rsidR="00CD423E">
        <w:rPr>
          <w:b/>
          <w:bCs/>
          <w:sz w:val="28"/>
          <w:szCs w:val="28"/>
        </w:rPr>
        <w:t>7</w:t>
      </w:r>
    </w:p>
    <w:p w14:paraId="7EFFCDA8" w14:textId="6361FC2D" w:rsidR="00C45CCF" w:rsidRDefault="00955222" w:rsidP="00C45CCF">
      <w:pPr>
        <w:jc w:val="center"/>
        <w:rPr>
          <w:b/>
          <w:bCs/>
          <w:sz w:val="28"/>
          <w:szCs w:val="28"/>
        </w:rPr>
      </w:pPr>
      <w:r>
        <w:rPr>
          <w:b/>
          <w:bCs/>
          <w:sz w:val="28"/>
          <w:szCs w:val="28"/>
        </w:rPr>
        <w:t>UBEZPIECZENIE</w:t>
      </w:r>
    </w:p>
    <w:p w14:paraId="3BDC5A3D" w14:textId="77777777" w:rsidR="00955222" w:rsidRDefault="00955222" w:rsidP="00955222">
      <w:pPr>
        <w:pStyle w:val="Akapitzlist"/>
        <w:numPr>
          <w:ilvl w:val="0"/>
          <w:numId w:val="3"/>
        </w:numPr>
        <w:spacing w:after="0" w:line="240" w:lineRule="auto"/>
        <w:contextualSpacing w:val="0"/>
        <w:jc w:val="both"/>
        <w:rPr>
          <w:rFonts w:eastAsia="Times New Roman"/>
          <w:lang w:val="en-US"/>
        </w:rPr>
      </w:pPr>
      <w:r>
        <w:rPr>
          <w:rFonts w:eastAsia="Times New Roman"/>
        </w:rPr>
        <w:t>Wykonawca zapewni ochronę ubezpieczeniową w ramach umowy ubezpieczenia odpowiedzialności cywilnej (OC), co najmniej przez okres związania niniejszą Umową (tj. od dnia podpisania Umowy do dnia wypełnienia zobowiązań gwarancyjnych i rękojmi), w której rodzaj działalności objętej ochroną będzie zgodny z zakresem prac wykonywanych w ramach niniejszej Umowy. Zakres ochrony będzie obejmował odpowiedzialność cywilną ubezpieczonych z tytułu czynów niedozwolonych (odpowiedzialność deliktową) oraz odpowiedzialność cywilną za szkody wynikające z niewykonania lub nienależytego wykonania zobowiązania (odpowiedzialność kontraktową), jak również odpowiedzialność cywilną za szkody wyrządzone przez wyprodukowany/ dostarczony produkt i wykonaną usługę. Ochroną objęte zostaną szkody rzeczowe i osobowe wyrządzone osobom trzecim oraz ich następstwa. Zakres ochrony ubezpieczeniowej powinien uwzględniać specyfikę przedmiotu Umowy.</w:t>
      </w:r>
    </w:p>
    <w:p w14:paraId="0F7EA669" w14:textId="77777777" w:rsidR="00955222" w:rsidRDefault="00955222" w:rsidP="00955222">
      <w:pPr>
        <w:pStyle w:val="Akapitzlist"/>
        <w:numPr>
          <w:ilvl w:val="0"/>
          <w:numId w:val="3"/>
        </w:numPr>
        <w:spacing w:after="0" w:line="240" w:lineRule="auto"/>
        <w:contextualSpacing w:val="0"/>
        <w:jc w:val="both"/>
        <w:rPr>
          <w:rFonts w:eastAsia="Times New Roman"/>
          <w:lang w:val="en-US"/>
        </w:rPr>
      </w:pPr>
      <w:r>
        <w:rPr>
          <w:rFonts w:eastAsia="Times New Roman"/>
        </w:rPr>
        <w:t>Ubezpieczenie to będzie spełniało łącznie co najmniej następujące warunki:</w:t>
      </w:r>
    </w:p>
    <w:p w14:paraId="08C2D23B" w14:textId="761B63E5" w:rsidR="00955222" w:rsidRDefault="00955222" w:rsidP="00955222">
      <w:pPr>
        <w:pStyle w:val="Akapitzlist"/>
        <w:numPr>
          <w:ilvl w:val="0"/>
          <w:numId w:val="3"/>
        </w:numPr>
        <w:spacing w:after="0" w:line="240" w:lineRule="auto"/>
        <w:contextualSpacing w:val="0"/>
        <w:jc w:val="both"/>
        <w:rPr>
          <w:rFonts w:eastAsia="Times New Roman"/>
          <w:lang w:val="en-US"/>
        </w:rPr>
      </w:pPr>
      <w:r>
        <w:rPr>
          <w:rFonts w:eastAsia="Times New Roman"/>
        </w:rPr>
        <w:t xml:space="preserve">Suma gwarancyjna powinna wynosić nie mniej niż </w:t>
      </w:r>
      <w:r w:rsidR="00FA6983" w:rsidRPr="004070E2">
        <w:rPr>
          <w:rFonts w:eastAsia="Times New Roman"/>
        </w:rPr>
        <w:t>2</w:t>
      </w:r>
      <w:r w:rsidRPr="004070E2">
        <w:rPr>
          <w:rFonts w:eastAsia="Times New Roman"/>
        </w:rPr>
        <w:t>.000.000 PLN.</w:t>
      </w:r>
    </w:p>
    <w:p w14:paraId="3507CADF" w14:textId="77777777" w:rsidR="00955222" w:rsidRDefault="00955222" w:rsidP="00955222">
      <w:pPr>
        <w:pStyle w:val="Akapitzlist"/>
        <w:numPr>
          <w:ilvl w:val="0"/>
          <w:numId w:val="3"/>
        </w:numPr>
        <w:spacing w:after="0" w:line="240" w:lineRule="auto"/>
        <w:contextualSpacing w:val="0"/>
        <w:jc w:val="both"/>
        <w:rPr>
          <w:rFonts w:eastAsia="Times New Roman"/>
          <w:lang w:val="en-US"/>
        </w:rPr>
      </w:pPr>
      <w:r>
        <w:rPr>
          <w:rFonts w:eastAsia="Times New Roman"/>
        </w:rPr>
        <w:t>Czasowy zakres ochrony ubezpieczeniowej (</w:t>
      </w:r>
      <w:proofErr w:type="spellStart"/>
      <w:r>
        <w:rPr>
          <w:rFonts w:eastAsia="Times New Roman"/>
        </w:rPr>
        <w:t>trigger</w:t>
      </w:r>
      <w:proofErr w:type="spellEnd"/>
      <w:r>
        <w:rPr>
          <w:rFonts w:eastAsia="Times New Roman"/>
        </w:rPr>
        <w:t xml:space="preserve"> </w:t>
      </w:r>
      <w:proofErr w:type="spellStart"/>
      <w:r>
        <w:rPr>
          <w:rFonts w:eastAsia="Times New Roman"/>
        </w:rPr>
        <w:t>loss</w:t>
      </w:r>
      <w:proofErr w:type="spellEnd"/>
      <w:r>
        <w:rPr>
          <w:rFonts w:eastAsia="Times New Roman"/>
        </w:rPr>
        <w:t xml:space="preserve"> </w:t>
      </w:r>
      <w:proofErr w:type="spellStart"/>
      <w:r>
        <w:rPr>
          <w:rFonts w:eastAsia="Times New Roman"/>
        </w:rPr>
        <w:t>occurrence</w:t>
      </w:r>
      <w:proofErr w:type="spellEnd"/>
      <w:r>
        <w:rPr>
          <w:rFonts w:eastAsia="Times New Roman"/>
        </w:rPr>
        <w:t>) - powstanie wypadku ubezpieczeniowego w okresie ubezpieczenia. Przy czym przez wypadek rozumie się śmierć, uszkodzenie ciała, doznanie rozstroju zdrowia, zniszczenie, uszkodzenie rzeczy lub powstanie czystej straty finansowej.  </w:t>
      </w:r>
    </w:p>
    <w:p w14:paraId="06FE91A6" w14:textId="77777777" w:rsidR="00955222" w:rsidRDefault="00955222" w:rsidP="00955222">
      <w:pPr>
        <w:pStyle w:val="Akapitzlist"/>
        <w:numPr>
          <w:ilvl w:val="0"/>
          <w:numId w:val="3"/>
        </w:numPr>
        <w:spacing w:after="0" w:line="240" w:lineRule="auto"/>
        <w:contextualSpacing w:val="0"/>
        <w:jc w:val="both"/>
        <w:rPr>
          <w:rFonts w:eastAsia="Times New Roman"/>
          <w:lang w:val="en-US"/>
        </w:rPr>
      </w:pPr>
      <w:r>
        <w:rPr>
          <w:rFonts w:eastAsia="Times New Roman"/>
        </w:rPr>
        <w:t>Ubezpieczone będą szkody wyrządzone w wyniku rażącego niedbalstwa.</w:t>
      </w:r>
    </w:p>
    <w:p w14:paraId="6F264F77" w14:textId="77777777" w:rsidR="00955222" w:rsidRDefault="00955222" w:rsidP="00955222">
      <w:pPr>
        <w:pStyle w:val="Akapitzlist"/>
        <w:numPr>
          <w:ilvl w:val="0"/>
          <w:numId w:val="3"/>
        </w:numPr>
        <w:spacing w:after="0" w:line="240" w:lineRule="auto"/>
        <w:contextualSpacing w:val="0"/>
        <w:jc w:val="both"/>
        <w:rPr>
          <w:rFonts w:eastAsia="Times New Roman"/>
          <w:lang w:val="en-US"/>
        </w:rPr>
      </w:pPr>
      <w:r>
        <w:rPr>
          <w:rFonts w:eastAsia="Times New Roman"/>
        </w:rPr>
        <w:t>Ubezpieczone będą szkody powstałe w mieniu przekazanym Wykonawcy w celu wykonania pracy lub usługi na tym mieniu lub za jego pomocą, a także przekazane Wykonawcy w celu przechowywania/ dozoru, które to przechowanie/ dozór ma charakter pomocniczy i jest niezbędne do wykonania na tym mieniu lub za jego pomocą pracy lub usługi przez Wykonawcę.</w:t>
      </w:r>
    </w:p>
    <w:p w14:paraId="2BC370FB" w14:textId="77777777" w:rsidR="00955222" w:rsidRDefault="00955222" w:rsidP="00955222">
      <w:pPr>
        <w:pStyle w:val="Akapitzlist"/>
        <w:numPr>
          <w:ilvl w:val="0"/>
          <w:numId w:val="3"/>
        </w:numPr>
        <w:spacing w:after="0" w:line="240" w:lineRule="auto"/>
        <w:contextualSpacing w:val="0"/>
        <w:jc w:val="both"/>
        <w:rPr>
          <w:rFonts w:eastAsia="Times New Roman"/>
          <w:lang w:val="en-US"/>
        </w:rPr>
      </w:pPr>
      <w:r>
        <w:rPr>
          <w:rFonts w:eastAsia="Times New Roman"/>
        </w:rPr>
        <w:t>Umowa ubezpieczenia obejmuje również szkody:</w:t>
      </w:r>
    </w:p>
    <w:p w14:paraId="03D224A1" w14:textId="77777777" w:rsidR="00955222" w:rsidRDefault="00955222" w:rsidP="00955222">
      <w:pPr>
        <w:pStyle w:val="Akapitzlist"/>
        <w:numPr>
          <w:ilvl w:val="1"/>
          <w:numId w:val="4"/>
        </w:numPr>
        <w:spacing w:after="0" w:line="240" w:lineRule="auto"/>
        <w:contextualSpacing w:val="0"/>
        <w:jc w:val="both"/>
        <w:rPr>
          <w:rFonts w:eastAsia="Times New Roman"/>
          <w:lang w:val="en-US"/>
        </w:rPr>
      </w:pPr>
      <w:r>
        <w:rPr>
          <w:rFonts w:eastAsia="Times New Roman"/>
        </w:rPr>
        <w:t>wynikające z uszkodzenia lub zniszczenia urządzeń i instalacji wodociągowych, kanalizacyjnych, centralnego ogrzewania, gazowych, elektrycznych, technologicznych, w tym w instalacjach podziemnych.</w:t>
      </w:r>
    </w:p>
    <w:p w14:paraId="2FD3E6FE" w14:textId="77777777" w:rsidR="00955222" w:rsidRDefault="00955222" w:rsidP="00955222">
      <w:pPr>
        <w:pStyle w:val="Akapitzlist"/>
        <w:numPr>
          <w:ilvl w:val="1"/>
          <w:numId w:val="4"/>
        </w:numPr>
        <w:spacing w:after="0" w:line="240" w:lineRule="auto"/>
        <w:contextualSpacing w:val="0"/>
        <w:jc w:val="both"/>
        <w:rPr>
          <w:rFonts w:eastAsia="Times New Roman"/>
          <w:lang w:val="en-US"/>
        </w:rPr>
      </w:pPr>
      <w:r>
        <w:rPr>
          <w:rFonts w:eastAsia="Times New Roman"/>
        </w:rPr>
        <w:t>wynikające z nagłego i niespodziewanego zanieczyszczenia środowiska (szkody wynikłe z emisji do powietrza, wody, gruntu jakichkolwiek substancji niebezpiecznych).  </w:t>
      </w:r>
    </w:p>
    <w:p w14:paraId="6F516215" w14:textId="77777777" w:rsidR="00955222" w:rsidRDefault="00955222" w:rsidP="00955222">
      <w:pPr>
        <w:pStyle w:val="Akapitzlist"/>
        <w:numPr>
          <w:ilvl w:val="1"/>
          <w:numId w:val="4"/>
        </w:numPr>
        <w:spacing w:after="0" w:line="240" w:lineRule="auto"/>
        <w:contextualSpacing w:val="0"/>
        <w:jc w:val="both"/>
        <w:rPr>
          <w:rFonts w:eastAsia="Times New Roman"/>
          <w:lang w:val="en-US"/>
        </w:rPr>
      </w:pPr>
      <w:r>
        <w:rPr>
          <w:rFonts w:eastAsia="Times New Roman"/>
        </w:rPr>
        <w:t xml:space="preserve">wyrządzone podczas prac ładunkowych, o ile w ramach Umowy będą wykonywane takie prace. </w:t>
      </w:r>
    </w:p>
    <w:p w14:paraId="202CA83B" w14:textId="77777777" w:rsidR="00955222" w:rsidRDefault="00955222" w:rsidP="00955222">
      <w:pPr>
        <w:pStyle w:val="Akapitzlist"/>
        <w:numPr>
          <w:ilvl w:val="0"/>
          <w:numId w:val="3"/>
        </w:numPr>
        <w:spacing w:after="0" w:line="240" w:lineRule="auto"/>
        <w:contextualSpacing w:val="0"/>
        <w:jc w:val="both"/>
        <w:rPr>
          <w:rFonts w:eastAsia="Times New Roman"/>
          <w:lang w:val="en-US"/>
        </w:rPr>
      </w:pPr>
      <w:r>
        <w:rPr>
          <w:rFonts w:eastAsia="Times New Roman"/>
        </w:rPr>
        <w:t xml:space="preserve">Ubezpieczone będą szkody polegające na powstaniu czystej straty finansowej, tj. szkody nie będące następstwem szkód osobowych, ani szkód rzeczowych. Zakresem ubezpieczenia będą objęte również szkody powstałe wskutek zamontowania, umocowania lub położenia wadliwego produktu polegające na poniesieniu kosztów usunięcia produktu wadliwego i zastąpienia go produktem niewadliwym. Dopuszczalny jest </w:t>
      </w:r>
      <w:proofErr w:type="spellStart"/>
      <w:r>
        <w:rPr>
          <w:rFonts w:eastAsia="Times New Roman"/>
        </w:rPr>
        <w:t>podlimit</w:t>
      </w:r>
      <w:proofErr w:type="spellEnd"/>
      <w:r>
        <w:rPr>
          <w:rFonts w:eastAsia="Times New Roman"/>
        </w:rPr>
        <w:t xml:space="preserve"> w wysokości nie niższej niż 1.000.000 PLN.</w:t>
      </w:r>
    </w:p>
    <w:p w14:paraId="6C3EA8C9" w14:textId="77777777" w:rsidR="00955222" w:rsidRDefault="00955222" w:rsidP="00955222">
      <w:pPr>
        <w:pStyle w:val="Akapitzlist"/>
        <w:numPr>
          <w:ilvl w:val="0"/>
          <w:numId w:val="3"/>
        </w:numPr>
        <w:spacing w:after="0" w:line="240" w:lineRule="auto"/>
        <w:contextualSpacing w:val="0"/>
        <w:jc w:val="both"/>
        <w:rPr>
          <w:rFonts w:eastAsia="Times New Roman"/>
          <w:lang w:val="en-US"/>
        </w:rPr>
      </w:pPr>
      <w:r>
        <w:rPr>
          <w:rFonts w:eastAsia="Times New Roman"/>
        </w:rPr>
        <w:t xml:space="preserve">Jeżeli do realizacji prac zostaną zatrudnieni podwykonawcy, ochroną objęte zostaną szkody za które ponosi odpowiedzialność Wykonawca, a które zostały wyrządzone przez podwykonawców; dopuszcza się zastosowanie regresu w stosunku do podwykonawcy będącego sprawcą szkody. Niezależnie od zakresu ubezpieczenia określonego w zdaniu poprzednim, Wykonawca powinien zweryfikować polisy ubezpieczeniowe posiadane przez podwykonawców i zapewnić, aby ich zakres ubezpieczenia był dostosowany do skali i rodzaju prac realizowanych przez podwykonawcę w ramach niniejszej Umowy i był nie węższy niż wymogi określone dla Wykonawcy, chyba że część prac powierzona podwykonawcy nie </w:t>
      </w:r>
      <w:r>
        <w:rPr>
          <w:rFonts w:eastAsia="Times New Roman"/>
        </w:rPr>
        <w:lastRenderedPageBreak/>
        <w:t xml:space="preserve">pociąga za sobą ryzyko powstania szkody określonej wyżej wskazanymi klauzulami  rozszerzającymi. </w:t>
      </w:r>
    </w:p>
    <w:p w14:paraId="3ADE208E" w14:textId="77777777" w:rsidR="00955222" w:rsidRDefault="00955222" w:rsidP="00955222">
      <w:pPr>
        <w:pStyle w:val="Akapitzlist"/>
        <w:numPr>
          <w:ilvl w:val="0"/>
          <w:numId w:val="3"/>
        </w:numPr>
        <w:spacing w:after="0" w:line="240" w:lineRule="auto"/>
        <w:contextualSpacing w:val="0"/>
        <w:jc w:val="both"/>
        <w:rPr>
          <w:rFonts w:eastAsia="Times New Roman"/>
          <w:lang w:val="en-US"/>
        </w:rPr>
      </w:pPr>
      <w:r>
        <w:rPr>
          <w:rFonts w:eastAsia="Times New Roman"/>
        </w:rPr>
        <w:t>Zakres terytorialny powinien obejmować terytorium Polski.</w:t>
      </w:r>
    </w:p>
    <w:p w14:paraId="7693B309" w14:textId="77777777" w:rsidR="00955222" w:rsidRDefault="00955222" w:rsidP="00955222">
      <w:pPr>
        <w:pStyle w:val="Akapitzlist"/>
        <w:numPr>
          <w:ilvl w:val="0"/>
          <w:numId w:val="3"/>
        </w:numPr>
        <w:spacing w:after="0" w:line="240" w:lineRule="auto"/>
        <w:contextualSpacing w:val="0"/>
        <w:jc w:val="both"/>
        <w:rPr>
          <w:rFonts w:eastAsia="Times New Roman"/>
          <w:lang w:val="en-US"/>
        </w:rPr>
      </w:pPr>
      <w:r>
        <w:rPr>
          <w:rFonts w:eastAsia="Times New Roman"/>
        </w:rPr>
        <w:t xml:space="preserve">Poziom franszyzy redukcyjnej oraz wyłączenia odpowiedzialności zgodne z dobrą praktyką rynkową aktualną na dzień zawierania umowy ubezpieczenia. </w:t>
      </w:r>
    </w:p>
    <w:p w14:paraId="1B485D1A" w14:textId="77777777" w:rsidR="00955222" w:rsidRDefault="00955222" w:rsidP="00955222">
      <w:pPr>
        <w:pStyle w:val="Akapitzlist"/>
        <w:numPr>
          <w:ilvl w:val="0"/>
          <w:numId w:val="3"/>
        </w:numPr>
        <w:spacing w:after="0" w:line="240" w:lineRule="auto"/>
        <w:contextualSpacing w:val="0"/>
        <w:jc w:val="both"/>
        <w:rPr>
          <w:rFonts w:eastAsia="Times New Roman"/>
          <w:lang w:val="en-US"/>
        </w:rPr>
      </w:pPr>
      <w:r>
        <w:rPr>
          <w:rFonts w:eastAsia="Times New Roman"/>
        </w:rPr>
        <w:t>Zarówno suma gwarancyjna jak i limity odpowiedzialności, określone są w formule na jedno i wszystkie zdarzenia w rocznym okresie ubezpieczenia lub w przypadku polisy celowej w całym okresie ubezpieczenia. W przypadku nie wprowadzenia limitu odpowiedzialności dla któregoś z powyższych rozszerzeń zakresu ubezpieczenia – odpowiedzialność zakładu ubezpieczeń do pełnej sumy gwarancyjnej.</w:t>
      </w:r>
    </w:p>
    <w:p w14:paraId="42287999" w14:textId="7C320692" w:rsidR="00955222" w:rsidRDefault="00955222" w:rsidP="00955222">
      <w:pPr>
        <w:pStyle w:val="Akapitzlist"/>
        <w:numPr>
          <w:ilvl w:val="0"/>
          <w:numId w:val="3"/>
        </w:numPr>
        <w:spacing w:after="0" w:line="240" w:lineRule="auto"/>
        <w:contextualSpacing w:val="0"/>
        <w:jc w:val="both"/>
        <w:rPr>
          <w:rFonts w:eastAsia="Times New Roman"/>
          <w:lang w:val="en-US"/>
        </w:rPr>
      </w:pPr>
      <w:r>
        <w:rPr>
          <w:rFonts w:eastAsia="Times New Roman"/>
        </w:rPr>
        <w:t xml:space="preserve">W odniesieniu do Wykonawców działających wspólnie (np. konsorcjum) wymóg dotyczący ubezpieczenia odpowiedzialności cywilnej powinien zostać spełniony w następujący sposób: W przypadku zawarcia jednostkowego ubezpieczenia przeznaczonego wyłącznie do ochrony roszczeń związanych z realizacją Umowy (tzw. polisa celowa), zawartego na cały okres realizacji Umowy, którym objęci byliby wszyscy Wykonawcy działający wspólnie jako ubezpieczeni – wymóg dotyczący sumy gwarancyjnej stosuje się do jednostkowej umowy ubezpieczenia. W innym przypadku suma ubezpieczenia dotyczy każdego podmiotu z osobna, tzn. każdy z nich powinien posiadać ochronę w zakresie ubezpieczenia odpowiedzialności cywilnej z sumą gwarancyjną w wysokości nie niższej niż </w:t>
      </w:r>
      <w:r w:rsidR="00FA6983">
        <w:rPr>
          <w:rFonts w:eastAsia="Times New Roman"/>
        </w:rPr>
        <w:t>2</w:t>
      </w:r>
      <w:r>
        <w:rPr>
          <w:rFonts w:eastAsia="Times New Roman"/>
        </w:rPr>
        <w:t xml:space="preserve">.000.000 PLN na jeden i wszystkie wypadki, a zakres ochrony powinien spełniać powyższe warunki. </w:t>
      </w:r>
    </w:p>
    <w:p w14:paraId="25CDC38B" w14:textId="77777777" w:rsidR="00955222" w:rsidRDefault="00955222" w:rsidP="00955222">
      <w:pPr>
        <w:pStyle w:val="Akapitzlist"/>
        <w:numPr>
          <w:ilvl w:val="0"/>
          <w:numId w:val="3"/>
        </w:numPr>
        <w:spacing w:after="0" w:line="240" w:lineRule="auto"/>
        <w:contextualSpacing w:val="0"/>
        <w:jc w:val="both"/>
        <w:rPr>
          <w:rFonts w:eastAsia="Times New Roman"/>
          <w:lang w:val="en-US"/>
        </w:rPr>
      </w:pPr>
      <w:r>
        <w:rPr>
          <w:rFonts w:eastAsia="Times New Roman"/>
        </w:rPr>
        <w:t>Wykonawca jest zobowiązany dostarczyć Zamawiającemu kopie wymaganych polis ubezpieczeniowych najpóźniej w dniu zawarcia Umowy oraz niezwłocznie po zawarciu umów ubezpieczenia na kolejny okres.</w:t>
      </w:r>
    </w:p>
    <w:p w14:paraId="19DB0F51" w14:textId="77777777" w:rsidR="00955222" w:rsidRPr="00955222" w:rsidRDefault="00955222" w:rsidP="00955222">
      <w:pPr>
        <w:rPr>
          <w:b/>
          <w:bCs/>
          <w:sz w:val="28"/>
          <w:szCs w:val="28"/>
          <w:lang w:val="en-US"/>
        </w:rPr>
      </w:pPr>
    </w:p>
    <w:sectPr w:rsidR="00955222" w:rsidRPr="00955222">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2AE960" w14:textId="77777777" w:rsidR="00B07B33" w:rsidRDefault="00B07B33" w:rsidP="006B02F1">
      <w:pPr>
        <w:spacing w:after="0" w:line="240" w:lineRule="auto"/>
      </w:pPr>
      <w:r>
        <w:separator/>
      </w:r>
    </w:p>
  </w:endnote>
  <w:endnote w:type="continuationSeparator" w:id="0">
    <w:p w14:paraId="1A7CA634" w14:textId="77777777" w:rsidR="00B07B33" w:rsidRDefault="00B07B33" w:rsidP="006B02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3B17A4" w14:textId="77777777" w:rsidR="00B07B33" w:rsidRDefault="00B07B33" w:rsidP="006B02F1">
      <w:pPr>
        <w:spacing w:after="0" w:line="240" w:lineRule="auto"/>
      </w:pPr>
      <w:r>
        <w:separator/>
      </w:r>
    </w:p>
  </w:footnote>
  <w:footnote w:type="continuationSeparator" w:id="0">
    <w:p w14:paraId="3B5DE3E9" w14:textId="77777777" w:rsidR="00B07B33" w:rsidRDefault="00B07B33" w:rsidP="006B02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BD2E49" w14:textId="6A6DAF39" w:rsidR="00370B32" w:rsidRPr="00370B32" w:rsidRDefault="00370B32" w:rsidP="00370B32">
    <w:pPr>
      <w:pStyle w:val="Nagwek"/>
    </w:pPr>
    <w:r w:rsidRPr="00710EEC">
      <w:rPr>
        <w:noProof/>
        <w:kern w:val="2"/>
        <w14:ligatures w14:val="standardContextual"/>
      </w:rPr>
      <w:drawing>
        <wp:inline distT="0" distB="0" distL="0" distR="0" wp14:anchorId="0CE8008A" wp14:editId="2513CF6A">
          <wp:extent cx="5760720" cy="774700"/>
          <wp:effectExtent l="0" t="0" r="0" b="6350"/>
          <wp:docPr id="1096561171" name="Obraz 1096561171" descr="Obraz zawierający tekst, zrzut ekranu,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305493" name="Obraz 2" descr="Obraz zawierający tekst, zrzut ekranu, Czcionka&#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74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C8365D"/>
    <w:multiLevelType w:val="multilevel"/>
    <w:tmpl w:val="7794D3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68028ED"/>
    <w:multiLevelType w:val="multilevel"/>
    <w:tmpl w:val="B82CE9F0"/>
    <w:lvl w:ilvl="0">
      <w:start w:val="1"/>
      <w:numFmt w:val="decimal"/>
      <w:lvlText w:val="%1)"/>
      <w:lvlJc w:val="left"/>
      <w:pPr>
        <w:ind w:left="360" w:hanging="360"/>
      </w:pPr>
      <w:rPr>
        <w:b/>
        <w:color w:val="auto"/>
      </w:rPr>
    </w:lvl>
    <w:lvl w:ilvl="1">
      <w:start w:val="1"/>
      <w:numFmt w:val="lowerLetter"/>
      <w:lvlText w:val="%2)"/>
      <w:lvlJc w:val="left"/>
      <w:pPr>
        <w:ind w:left="720" w:hanging="360"/>
      </w:pPr>
      <w:rPr>
        <w:color w:val="000000" w:themeColor="text1"/>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60DE7D39"/>
    <w:multiLevelType w:val="multilevel"/>
    <w:tmpl w:val="97622F9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7AB40FDB"/>
    <w:multiLevelType w:val="multilevel"/>
    <w:tmpl w:val="093484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407919248">
    <w:abstractNumId w:val="1"/>
  </w:num>
  <w:num w:numId="2" w16cid:durableId="317151845">
    <w:abstractNumId w:val="2"/>
  </w:num>
  <w:num w:numId="3" w16cid:durableId="8634390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485630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CCF"/>
    <w:rsid w:val="000D3106"/>
    <w:rsid w:val="002A093A"/>
    <w:rsid w:val="002D3817"/>
    <w:rsid w:val="002E470E"/>
    <w:rsid w:val="002E79DB"/>
    <w:rsid w:val="00337360"/>
    <w:rsid w:val="00370B32"/>
    <w:rsid w:val="00374414"/>
    <w:rsid w:val="00393246"/>
    <w:rsid w:val="004070E2"/>
    <w:rsid w:val="004E1965"/>
    <w:rsid w:val="00527149"/>
    <w:rsid w:val="00553218"/>
    <w:rsid w:val="005D4BF8"/>
    <w:rsid w:val="005E505B"/>
    <w:rsid w:val="0062733A"/>
    <w:rsid w:val="006534BA"/>
    <w:rsid w:val="00675292"/>
    <w:rsid w:val="006A7C70"/>
    <w:rsid w:val="006B02F1"/>
    <w:rsid w:val="006C4064"/>
    <w:rsid w:val="006E3C1B"/>
    <w:rsid w:val="00810C0F"/>
    <w:rsid w:val="00844173"/>
    <w:rsid w:val="00882426"/>
    <w:rsid w:val="008E50E8"/>
    <w:rsid w:val="008F1ACC"/>
    <w:rsid w:val="00940F71"/>
    <w:rsid w:val="00955222"/>
    <w:rsid w:val="00965B78"/>
    <w:rsid w:val="009B48CA"/>
    <w:rsid w:val="00A02FF3"/>
    <w:rsid w:val="00A105C9"/>
    <w:rsid w:val="00A202CA"/>
    <w:rsid w:val="00A8471D"/>
    <w:rsid w:val="00AF43C8"/>
    <w:rsid w:val="00B07B33"/>
    <w:rsid w:val="00B07F0D"/>
    <w:rsid w:val="00B35365"/>
    <w:rsid w:val="00B4109C"/>
    <w:rsid w:val="00C45CCF"/>
    <w:rsid w:val="00C80C3C"/>
    <w:rsid w:val="00C969B8"/>
    <w:rsid w:val="00CD423E"/>
    <w:rsid w:val="00E13423"/>
    <w:rsid w:val="00E447D4"/>
    <w:rsid w:val="00EE750A"/>
    <w:rsid w:val="00F06879"/>
    <w:rsid w:val="00FA6983"/>
    <w:rsid w:val="00FC7F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99260"/>
  <w15:chartTrackingRefBased/>
  <w15:docId w15:val="{9C8CF710-F4EB-4FCF-ACA2-1B250B32C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C45CC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C45CC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C45CCF"/>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C45CCF"/>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C45CCF"/>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C45CC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C45CC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C45CC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C45CC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45CCF"/>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C45CCF"/>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C45CCF"/>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C45CCF"/>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C45CCF"/>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C45CC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C45CC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C45CC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C45CCF"/>
    <w:rPr>
      <w:rFonts w:eastAsiaTheme="majorEastAsia" w:cstheme="majorBidi"/>
      <w:color w:val="272727" w:themeColor="text1" w:themeTint="D8"/>
    </w:rPr>
  </w:style>
  <w:style w:type="paragraph" w:styleId="Tytu">
    <w:name w:val="Title"/>
    <w:basedOn w:val="Normalny"/>
    <w:next w:val="Normalny"/>
    <w:link w:val="TytuZnak"/>
    <w:uiPriority w:val="10"/>
    <w:qFormat/>
    <w:rsid w:val="00C45CC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45CC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C45CC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C45CC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45CCF"/>
    <w:pPr>
      <w:spacing w:before="160"/>
      <w:jc w:val="center"/>
    </w:pPr>
    <w:rPr>
      <w:i/>
      <w:iCs/>
      <w:color w:val="404040" w:themeColor="text1" w:themeTint="BF"/>
    </w:rPr>
  </w:style>
  <w:style w:type="character" w:customStyle="1" w:styleId="CytatZnak">
    <w:name w:val="Cytat Znak"/>
    <w:basedOn w:val="Domylnaczcionkaakapitu"/>
    <w:link w:val="Cytat"/>
    <w:uiPriority w:val="29"/>
    <w:rsid w:val="00C45CCF"/>
    <w:rPr>
      <w:i/>
      <w:iCs/>
      <w:color w:val="404040" w:themeColor="text1" w:themeTint="BF"/>
    </w:rPr>
  </w:style>
  <w:style w:type="paragraph" w:styleId="Akapitzlist">
    <w:name w:val="List Paragraph"/>
    <w:basedOn w:val="Normalny"/>
    <w:uiPriority w:val="34"/>
    <w:qFormat/>
    <w:rsid w:val="00C45CCF"/>
    <w:pPr>
      <w:ind w:left="720"/>
      <w:contextualSpacing/>
    </w:pPr>
  </w:style>
  <w:style w:type="character" w:styleId="Wyrnienieintensywne">
    <w:name w:val="Intense Emphasis"/>
    <w:basedOn w:val="Domylnaczcionkaakapitu"/>
    <w:uiPriority w:val="21"/>
    <w:qFormat/>
    <w:rsid w:val="00C45CCF"/>
    <w:rPr>
      <w:i/>
      <w:iCs/>
      <w:color w:val="2F5496" w:themeColor="accent1" w:themeShade="BF"/>
    </w:rPr>
  </w:style>
  <w:style w:type="paragraph" w:styleId="Cytatintensywny">
    <w:name w:val="Intense Quote"/>
    <w:basedOn w:val="Normalny"/>
    <w:next w:val="Normalny"/>
    <w:link w:val="CytatintensywnyZnak"/>
    <w:uiPriority w:val="30"/>
    <w:qFormat/>
    <w:rsid w:val="00C45CC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C45CCF"/>
    <w:rPr>
      <w:i/>
      <w:iCs/>
      <w:color w:val="2F5496" w:themeColor="accent1" w:themeShade="BF"/>
    </w:rPr>
  </w:style>
  <w:style w:type="character" w:styleId="Odwoanieintensywne">
    <w:name w:val="Intense Reference"/>
    <w:basedOn w:val="Domylnaczcionkaakapitu"/>
    <w:uiPriority w:val="32"/>
    <w:qFormat/>
    <w:rsid w:val="00C45CCF"/>
    <w:rPr>
      <w:b/>
      <w:bCs/>
      <w:smallCaps/>
      <w:color w:val="2F5496" w:themeColor="accent1" w:themeShade="BF"/>
      <w:spacing w:val="5"/>
    </w:rPr>
  </w:style>
  <w:style w:type="paragraph" w:customStyle="1" w:styleId="Default">
    <w:name w:val="Default"/>
    <w:rsid w:val="00810C0F"/>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6B02F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B02F1"/>
  </w:style>
  <w:style w:type="paragraph" w:styleId="Stopka">
    <w:name w:val="footer"/>
    <w:basedOn w:val="Normalny"/>
    <w:link w:val="StopkaZnak"/>
    <w:uiPriority w:val="99"/>
    <w:unhideWhenUsed/>
    <w:rsid w:val="006B02F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B02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191a8ac-75ec-4ce9-bda3-6bc51168812b">
      <Terms xmlns="http://schemas.microsoft.com/office/infopath/2007/PartnerControls"/>
    </lcf76f155ced4ddcb4097134ff3c332f>
    <TaxCatchAll xmlns="04d919eb-baac-4458-bc4f-b036848e870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D5A2871D704D74C91C2FC95A67DE68F" ma:contentTypeVersion="17" ma:contentTypeDescription="Utwórz nowy dokument." ma:contentTypeScope="" ma:versionID="366e2a6ac588305313f22526c75da5ac">
  <xsd:schema xmlns:xsd="http://www.w3.org/2001/XMLSchema" xmlns:xs="http://www.w3.org/2001/XMLSchema" xmlns:p="http://schemas.microsoft.com/office/2006/metadata/properties" xmlns:ns2="c191a8ac-75ec-4ce9-bda3-6bc51168812b" xmlns:ns3="04d919eb-baac-4458-bc4f-b036848e8700" targetNamespace="http://schemas.microsoft.com/office/2006/metadata/properties" ma:root="true" ma:fieldsID="59e8a75906f134168acd813ebcca059f" ns2:_="" ns3:_="">
    <xsd:import namespace="c191a8ac-75ec-4ce9-bda3-6bc51168812b"/>
    <xsd:import namespace="04d919eb-baac-4458-bc4f-b036848e8700"/>
    <xsd:element name="properties">
      <xsd:complexType>
        <xsd:sequence>
          <xsd:element name="documentManagement">
            <xsd:complexType>
              <xsd:all>
                <xsd:element ref="ns2:MediaServiceMetadata" minOccurs="0"/>
                <xsd:element ref="ns2:MediaServiceFastMetadata" minOccurs="0"/>
                <xsd:element ref="ns3:TaxCatchAll" minOccurs="0"/>
                <xsd:element ref="ns2:MediaServiceDateTaken" minOccurs="0"/>
                <xsd:element ref="ns2:MediaServiceGenerationTime" minOccurs="0"/>
                <xsd:element ref="ns2:MediaServiceEventHashCode" minOccurs="0"/>
                <xsd:element ref="ns2:lcf76f155ced4ddcb4097134ff3c332f" minOccurs="0"/>
                <xsd:element ref="ns2:MediaLengthInSeconds" minOccurs="0"/>
                <xsd:element ref="ns3:SharedWithUsers" minOccurs="0"/>
                <xsd:element ref="ns3:SharedWithDetails" minOccurs="0"/>
                <xsd:element ref="ns2:MediaServiceOCR" minOccurs="0"/>
                <xsd:element ref="ns2:MediaServiceLocation"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91a8ac-75ec-4ce9-bda3-6bc5116881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Tagi obrazów" ma:readOnly="false" ma:fieldId="{5cf76f15-5ced-4ddc-b409-7134ff3c332f}" ma:taxonomyMulti="true" ma:sspId="c9fbee0b-5ce7-431d-9278-834181594a9a" ma:termSetId="09814cd3-568e-fe90-9814-8d621ff8fb84" ma:anchorId="fba54fb3-c3e1-fe81-a776-ca4b69148c4d" ma:open="true" ma:isKeyword="false">
      <xsd:complexType>
        <xsd:sequence>
          <xsd:element ref="pc:Terms" minOccurs="0" maxOccurs="1"/>
        </xsd:sequence>
      </xsd:complex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d919eb-baac-4458-bc4f-b036848e8700"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2d4a591-56f1-412c-8366-14ddc58d943b}" ma:internalName="TaxCatchAll" ma:showField="CatchAllData" ma:web="04d919eb-baac-4458-bc4f-b036848e8700">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1DFDD7-A9A8-4AE6-8070-C8F3A09591D6}">
  <ds:schemaRefs>
    <ds:schemaRef ds:uri="http://schemas.microsoft.com/sharepoint/v3/contenttype/forms"/>
  </ds:schemaRefs>
</ds:datastoreItem>
</file>

<file path=customXml/itemProps2.xml><?xml version="1.0" encoding="utf-8"?>
<ds:datastoreItem xmlns:ds="http://schemas.openxmlformats.org/officeDocument/2006/customXml" ds:itemID="{E0ABA60F-E244-4872-8907-8C3049562151}">
  <ds:schemaRefs>
    <ds:schemaRef ds:uri="http://schemas.microsoft.com/office/2006/metadata/properties"/>
    <ds:schemaRef ds:uri="http://schemas.microsoft.com/office/infopath/2007/PartnerControls"/>
    <ds:schemaRef ds:uri="c191a8ac-75ec-4ce9-bda3-6bc51168812b"/>
    <ds:schemaRef ds:uri="04d919eb-baac-4458-bc4f-b036848e8700"/>
  </ds:schemaRefs>
</ds:datastoreItem>
</file>

<file path=customXml/itemProps3.xml><?xml version="1.0" encoding="utf-8"?>
<ds:datastoreItem xmlns:ds="http://schemas.openxmlformats.org/officeDocument/2006/customXml" ds:itemID="{6E0DC37C-2A53-4622-A920-C7C9F38D16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91a8ac-75ec-4ce9-bda3-6bc51168812b"/>
    <ds:schemaRef ds:uri="04d919eb-baac-4458-bc4f-b036848e87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731</Words>
  <Characters>4386</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Przybys</dc:creator>
  <cp:keywords/>
  <dc:description/>
  <cp:lastModifiedBy>Grzegorz Hołyszewski</cp:lastModifiedBy>
  <cp:revision>3</cp:revision>
  <dcterms:created xsi:type="dcterms:W3CDTF">2025-12-17T13:51:00Z</dcterms:created>
  <dcterms:modified xsi:type="dcterms:W3CDTF">2025-12-18T08:32:00Z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0x0101002D5A2871D704D74C91C2FC95A67DE68F</vt:lpwstr>
  </property>
  <property fmtid="{D5CDD505-2E9C-101B-9397-08002B2CF9AE}" pid="3" name="MediaServiceImageTags">
    <vt:lpwstr/>
  </property>
</Properties>
</file>